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3E" w:rsidRDefault="001D6A3E">
      <w:pPr>
        <w:ind w:firstLineChars="49" w:firstLine="103"/>
        <w:rPr>
          <w:rFonts w:hint="eastAsia"/>
          <w:b/>
        </w:rPr>
      </w:pPr>
    </w:p>
    <w:p w:rsidR="001D6A3E" w:rsidRDefault="00AA201C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1D6A3E" w:rsidRDefault="00AA201C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D6A3E" w:rsidRDefault="00AA201C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1D6A3E" w:rsidRDefault="001D6A3E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9264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eDIujaAAAADAEAAA8AAAAA&#10;AAAAAQAgAAAAIgAAAGRycy9kb3ducmV2LnhtbFBLAQIUABQAAAAIAIdO4kDqL2e32QEAAJ8DAAAO&#10;AAAAAAAAAAEAIAAAACkBAABkcnMvZTJvRG9jLnhtbFBLBQYAAAAABgAGAFkBAAB0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95710B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1D6A3E" w:rsidRDefault="00AA201C" w:rsidP="0095710B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初级财务会计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</w:t>
      </w:r>
      <w:r w:rsidR="0095710B">
        <w:rPr>
          <w:rFonts w:ascii="黑体" w:eastAsia="黑体" w:hint="eastAsia"/>
          <w:b/>
          <w:sz w:val="30"/>
          <w:szCs w:val="30"/>
        </w:rPr>
        <w:t>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1D6A3E" w:rsidRDefault="00AA201C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1D6A3E" w:rsidRDefault="00AA201C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  <w:bookmarkStart w:id="0" w:name="_GoBack"/>
      <w:bookmarkEnd w:id="0"/>
    </w:p>
    <w:p w:rsidR="001D6A3E" w:rsidRDefault="00AA201C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p w:rsidR="001D6A3E" w:rsidRDefault="001D6A3E"/>
    <w:tbl>
      <w:tblPr>
        <w:tblpPr w:leftFromText="180" w:rightFromText="180" w:vertAnchor="text" w:horzAnchor="page" w:tblpX="4539" w:tblpY="88"/>
        <w:tblOverlap w:val="never"/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1016"/>
        <w:gridCol w:w="930"/>
        <w:gridCol w:w="900"/>
        <w:gridCol w:w="900"/>
        <w:gridCol w:w="1125"/>
      </w:tblGrid>
      <w:tr w:rsidR="001D6A3E">
        <w:trPr>
          <w:trHeight w:val="773"/>
        </w:trPr>
        <w:tc>
          <w:tcPr>
            <w:tcW w:w="1069" w:type="dxa"/>
            <w:vAlign w:val="center"/>
          </w:tcPr>
          <w:p w:rsidR="001D6A3E" w:rsidRDefault="00AA20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1016" w:type="dxa"/>
            <w:vAlign w:val="center"/>
          </w:tcPr>
          <w:p w:rsidR="001D6A3E" w:rsidRDefault="00AA201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30" w:type="dxa"/>
            <w:vAlign w:val="center"/>
          </w:tcPr>
          <w:p w:rsidR="001D6A3E" w:rsidRDefault="00AA20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900" w:type="dxa"/>
            <w:vAlign w:val="center"/>
          </w:tcPr>
          <w:p w:rsidR="001D6A3E" w:rsidRDefault="00AA20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900" w:type="dxa"/>
            <w:vAlign w:val="center"/>
          </w:tcPr>
          <w:p w:rsidR="001D6A3E" w:rsidRDefault="00AA20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1125" w:type="dxa"/>
            <w:vAlign w:val="center"/>
          </w:tcPr>
          <w:p w:rsidR="001D6A3E" w:rsidRDefault="00AA20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 w:rsidR="001D6A3E">
        <w:trPr>
          <w:trHeight w:val="598"/>
        </w:trPr>
        <w:tc>
          <w:tcPr>
            <w:tcW w:w="1069" w:type="dxa"/>
            <w:vAlign w:val="center"/>
          </w:tcPr>
          <w:p w:rsidR="001D6A3E" w:rsidRDefault="00AA20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1016" w:type="dxa"/>
            <w:vAlign w:val="center"/>
          </w:tcPr>
          <w:p w:rsidR="001D6A3E" w:rsidRDefault="001D6A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1D6A3E" w:rsidRDefault="001D6A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D6A3E" w:rsidRDefault="001D6A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D6A3E" w:rsidRDefault="001D6A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1D6A3E" w:rsidRDefault="001D6A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D6A3E">
        <w:trPr>
          <w:trHeight w:val="598"/>
        </w:trPr>
        <w:tc>
          <w:tcPr>
            <w:tcW w:w="1069" w:type="dxa"/>
            <w:vAlign w:val="center"/>
          </w:tcPr>
          <w:p w:rsidR="001D6A3E" w:rsidRDefault="00AA20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1016" w:type="dxa"/>
            <w:vAlign w:val="center"/>
          </w:tcPr>
          <w:p w:rsidR="001D6A3E" w:rsidRDefault="001D6A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1D6A3E" w:rsidRDefault="001D6A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D6A3E" w:rsidRDefault="001D6A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1D6A3E" w:rsidRDefault="001D6A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1D6A3E" w:rsidRDefault="001D6A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1D6A3E" w:rsidRDefault="00AA201C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1D6A3E" w:rsidRDefault="001D6A3E">
      <w:pPr>
        <w:rPr>
          <w:rFonts w:ascii="宋体" w:hAnsi="宋体"/>
          <w:sz w:val="24"/>
        </w:rPr>
      </w:pPr>
    </w:p>
    <w:p w:rsidR="001D6A3E" w:rsidRDefault="001D6A3E">
      <w:pPr>
        <w:spacing w:line="400" w:lineRule="exact"/>
        <w:rPr>
          <w:rFonts w:ascii="宋体" w:hAnsi="宋体" w:cs="宋体"/>
          <w:kern w:val="0"/>
          <w:sz w:val="24"/>
        </w:rPr>
      </w:pPr>
    </w:p>
    <w:p w:rsidR="001D6A3E" w:rsidRDefault="001D6A3E">
      <w:pPr>
        <w:spacing w:line="400" w:lineRule="exact"/>
        <w:rPr>
          <w:rFonts w:ascii="宋体" w:hAnsi="宋体" w:cs="宋体"/>
          <w:kern w:val="0"/>
          <w:sz w:val="24"/>
        </w:rPr>
      </w:pPr>
    </w:p>
    <w:p w:rsidR="001D6A3E" w:rsidRDefault="001D6A3E">
      <w:pPr>
        <w:spacing w:line="400" w:lineRule="exact"/>
        <w:rPr>
          <w:rFonts w:ascii="宋体" w:hAnsi="宋体" w:cs="宋体"/>
          <w:kern w:val="0"/>
          <w:sz w:val="24"/>
        </w:rPr>
      </w:pPr>
    </w:p>
    <w:p w:rsidR="001D6A3E" w:rsidRDefault="001D6A3E">
      <w:pPr>
        <w:widowControl/>
        <w:shd w:val="clear" w:color="auto" w:fill="FFFFFF"/>
        <w:tabs>
          <w:tab w:val="left" w:pos="3780"/>
        </w:tabs>
        <w:jc w:val="left"/>
        <w:rPr>
          <w:rFonts w:ascii="宋体" w:hAnsi="宋体" w:cs="宋体"/>
          <w:kern w:val="0"/>
          <w:sz w:val="24"/>
        </w:rPr>
      </w:pPr>
    </w:p>
    <w:p w:rsidR="001D6A3E" w:rsidRDefault="00AA201C">
      <w:r>
        <w:t xml:space="preserve">                                 </w:t>
      </w:r>
    </w:p>
    <w:p w:rsidR="001D6A3E" w:rsidRDefault="00AA201C">
      <w:pPr>
        <w:spacing w:line="360" w:lineRule="auto"/>
        <w:rPr>
          <w:b/>
          <w:color w:val="000000" w:themeColor="text1"/>
        </w:rPr>
      </w:pP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b/>
          <w:color w:val="000000" w:themeColor="text1"/>
        </w:rPr>
        <w:t>一、单项选择</w:t>
      </w:r>
      <w:r>
        <w:rPr>
          <w:rFonts w:hint="eastAsia"/>
          <w:b/>
          <w:color w:val="000000" w:themeColor="text1"/>
        </w:rPr>
        <w:t>题。</w:t>
      </w:r>
      <w:r>
        <w:rPr>
          <w:rFonts w:hint="eastAsia"/>
          <w:b/>
          <w:color w:val="000000" w:themeColor="text1"/>
        </w:rPr>
        <w:t>（</w:t>
      </w:r>
      <w:r>
        <w:rPr>
          <w:b/>
          <w:color w:val="000000" w:themeColor="text1"/>
        </w:rPr>
        <w:t>下列选项中只有一个答案是最准确的。每小题</w:t>
      </w:r>
      <w:r>
        <w:rPr>
          <w:rFonts w:hint="eastAsia"/>
          <w:b/>
          <w:color w:val="000000" w:themeColor="text1"/>
        </w:rPr>
        <w:t>2</w:t>
      </w:r>
      <w:r>
        <w:rPr>
          <w:b/>
          <w:color w:val="000000" w:themeColor="text1"/>
        </w:rPr>
        <w:t>分，</w:t>
      </w:r>
      <w:r>
        <w:rPr>
          <w:rFonts w:hint="eastAsia"/>
          <w:b/>
          <w:color w:val="000000" w:themeColor="text1"/>
        </w:rPr>
        <w:t>共</w:t>
      </w:r>
      <w:r>
        <w:rPr>
          <w:rFonts w:hint="eastAsia"/>
          <w:b/>
          <w:color w:val="000000" w:themeColor="text1"/>
        </w:rPr>
        <w:t>40</w:t>
      </w:r>
      <w:r>
        <w:rPr>
          <w:b/>
          <w:color w:val="000000" w:themeColor="text1"/>
        </w:rPr>
        <w:t>分</w:t>
      </w:r>
      <w:r>
        <w:rPr>
          <w:rFonts w:hint="eastAsia"/>
          <w:b/>
          <w:color w:val="000000" w:themeColor="text1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．下列各项中，属于确定会计核算空间的基本前提是（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 A.</w:t>
      </w:r>
      <w:r>
        <w:rPr>
          <w:rFonts w:ascii="宋体" w:hAnsi="宋体" w:cs="宋体" w:hint="eastAsia"/>
          <w:sz w:val="24"/>
        </w:rPr>
        <w:t>会计主体</w:t>
      </w:r>
      <w:r>
        <w:rPr>
          <w:rFonts w:ascii="宋体" w:hAnsi="宋体" w:cs="宋体" w:hint="eastAsia"/>
          <w:sz w:val="24"/>
        </w:rPr>
        <w:t>         B.</w:t>
      </w:r>
      <w:r>
        <w:rPr>
          <w:rFonts w:ascii="宋体" w:hAnsi="宋体" w:cs="宋体" w:hint="eastAsia"/>
          <w:sz w:val="24"/>
        </w:rPr>
        <w:t>持续经营</w:t>
      </w:r>
      <w:r>
        <w:rPr>
          <w:rFonts w:ascii="宋体" w:hAnsi="宋体" w:cs="宋体" w:hint="eastAsia"/>
          <w:sz w:val="24"/>
        </w:rPr>
        <w:t>        </w:t>
      </w:r>
    </w:p>
    <w:p w:rsidR="001D6A3E" w:rsidRDefault="00AA201C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会计分期</w:t>
      </w:r>
      <w:r>
        <w:rPr>
          <w:rFonts w:ascii="宋体" w:hAnsi="宋体" w:cs="宋体" w:hint="eastAsia"/>
          <w:sz w:val="24"/>
        </w:rPr>
        <w:t>       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D.</w:t>
      </w:r>
      <w:r>
        <w:rPr>
          <w:rFonts w:ascii="宋体" w:hAnsi="宋体" w:cs="宋体" w:hint="eastAsia"/>
          <w:sz w:val="24"/>
        </w:rPr>
        <w:t>货币计量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．“预收账款”账户的性质是</w:t>
      </w:r>
      <w:r>
        <w:rPr>
          <w:rFonts w:ascii="宋体" w:hAnsi="宋体" w:cs="宋体" w:hint="eastAsia"/>
          <w:sz w:val="24"/>
        </w:rPr>
        <w:t> (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)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资产</w:t>
      </w:r>
      <w:r>
        <w:rPr>
          <w:rFonts w:ascii="宋体" w:hAnsi="宋体" w:cs="宋体" w:hint="eastAsia"/>
          <w:sz w:val="24"/>
        </w:rPr>
        <w:t>            B.</w:t>
      </w:r>
      <w:r>
        <w:rPr>
          <w:rFonts w:ascii="宋体" w:hAnsi="宋体" w:cs="宋体" w:hint="eastAsia"/>
          <w:sz w:val="24"/>
        </w:rPr>
        <w:t>负债</w:t>
      </w:r>
      <w:r>
        <w:rPr>
          <w:rFonts w:ascii="宋体" w:hAnsi="宋体" w:cs="宋体" w:hint="eastAsia"/>
          <w:sz w:val="24"/>
        </w:rPr>
        <w:t>      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损益</w:t>
      </w:r>
      <w:r>
        <w:rPr>
          <w:rFonts w:ascii="宋体" w:hAnsi="宋体" w:cs="宋体" w:hint="eastAsia"/>
          <w:sz w:val="24"/>
        </w:rPr>
        <w:t>            D.</w:t>
      </w:r>
      <w:r>
        <w:rPr>
          <w:rFonts w:ascii="宋体" w:hAnsi="宋体" w:cs="宋体" w:hint="eastAsia"/>
          <w:sz w:val="24"/>
        </w:rPr>
        <w:t>成本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．会计科目是</w:t>
      </w:r>
      <w:r>
        <w:rPr>
          <w:rFonts w:ascii="宋体" w:hAnsi="宋体" w:cs="宋体" w:hint="eastAsia"/>
          <w:sz w:val="24"/>
        </w:rPr>
        <w:t>(A)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会计要素的名称</w:t>
      </w:r>
      <w:r>
        <w:rPr>
          <w:rFonts w:ascii="宋体" w:hAnsi="宋体" w:cs="宋体" w:hint="eastAsia"/>
          <w:sz w:val="24"/>
        </w:rPr>
        <w:t>       B.</w:t>
      </w:r>
      <w:r>
        <w:rPr>
          <w:rFonts w:ascii="宋体" w:hAnsi="宋体" w:cs="宋体" w:hint="eastAsia"/>
          <w:sz w:val="24"/>
        </w:rPr>
        <w:t>报表的项目</w:t>
      </w:r>
      <w:r>
        <w:rPr>
          <w:rFonts w:ascii="宋体" w:hAnsi="宋体" w:cs="宋体" w:hint="eastAsia"/>
          <w:sz w:val="24"/>
        </w:rPr>
        <w:t>    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账簿的名称</w:t>
      </w:r>
      <w:r>
        <w:rPr>
          <w:rFonts w:ascii="宋体" w:hAnsi="宋体" w:cs="宋体" w:hint="eastAsia"/>
          <w:sz w:val="24"/>
        </w:rPr>
        <w:t>      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 D. </w:t>
      </w:r>
      <w:r>
        <w:rPr>
          <w:rFonts w:ascii="宋体" w:hAnsi="宋体" w:cs="宋体" w:hint="eastAsia"/>
          <w:sz w:val="24"/>
        </w:rPr>
        <w:t>账户的名称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．下列各项中，属于成本计算账户的是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)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本年利润</w:t>
      </w:r>
      <w:r>
        <w:rPr>
          <w:rFonts w:ascii="宋体" w:hAnsi="宋体" w:cs="宋体" w:hint="eastAsia"/>
          <w:sz w:val="24"/>
        </w:rPr>
        <w:t>          B.</w:t>
      </w:r>
      <w:r>
        <w:rPr>
          <w:rFonts w:ascii="宋体" w:hAnsi="宋体" w:cs="宋体" w:hint="eastAsia"/>
          <w:sz w:val="24"/>
        </w:rPr>
        <w:t>主营业务成本</w:t>
      </w:r>
      <w:r>
        <w:rPr>
          <w:rFonts w:ascii="宋体" w:hAnsi="宋体" w:cs="宋体" w:hint="eastAsia"/>
          <w:sz w:val="24"/>
        </w:rPr>
        <w:t>     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原材料</w:t>
      </w:r>
      <w:r>
        <w:rPr>
          <w:rFonts w:ascii="宋体" w:hAnsi="宋体" w:cs="宋体" w:hint="eastAsia"/>
          <w:sz w:val="24"/>
        </w:rPr>
        <w:t>           D.</w:t>
      </w:r>
      <w:r>
        <w:rPr>
          <w:rFonts w:ascii="宋体" w:hAnsi="宋体" w:cs="宋体" w:hint="eastAsia"/>
          <w:sz w:val="24"/>
        </w:rPr>
        <w:t>材料采购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．借贷记账法的发生额试算平衡的理论依据是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)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资产</w:t>
      </w: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sz w:val="24"/>
        </w:rPr>
        <w:t>负债</w:t>
      </w:r>
      <w:r>
        <w:rPr>
          <w:rFonts w:ascii="宋体" w:hAnsi="宋体" w:cs="宋体" w:hint="eastAsia"/>
          <w:sz w:val="24"/>
        </w:rPr>
        <w:t>+</w:t>
      </w:r>
      <w:r>
        <w:rPr>
          <w:rFonts w:ascii="宋体" w:hAnsi="宋体" w:cs="宋体" w:hint="eastAsia"/>
          <w:sz w:val="24"/>
        </w:rPr>
        <w:t>所有者权益</w:t>
      </w:r>
      <w:r>
        <w:rPr>
          <w:rFonts w:ascii="宋体" w:hAnsi="宋体" w:cs="宋体" w:hint="eastAsia"/>
          <w:sz w:val="24"/>
        </w:rPr>
        <w:t>    B.</w:t>
      </w:r>
      <w:r>
        <w:rPr>
          <w:rFonts w:ascii="宋体" w:hAnsi="宋体" w:cs="宋体" w:hint="eastAsia"/>
          <w:sz w:val="24"/>
        </w:rPr>
        <w:t>权责发生制</w:t>
      </w:r>
      <w:r>
        <w:rPr>
          <w:rFonts w:ascii="宋体" w:hAnsi="宋体" w:cs="宋体" w:hint="eastAsia"/>
          <w:sz w:val="24"/>
        </w:rPr>
        <w:t>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收入</w:t>
      </w:r>
      <w:proofErr w:type="gramStart"/>
      <w:r>
        <w:rPr>
          <w:rFonts w:ascii="宋体" w:hAnsi="宋体" w:cs="宋体" w:hint="eastAsia"/>
          <w:sz w:val="24"/>
        </w:rPr>
        <w:t>—费用</w:t>
      </w:r>
      <w:proofErr w:type="gramEnd"/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sz w:val="24"/>
        </w:rPr>
        <w:t>利润</w:t>
      </w:r>
      <w:r>
        <w:rPr>
          <w:rFonts w:ascii="宋体" w:hAnsi="宋体" w:cs="宋体" w:hint="eastAsia"/>
          <w:sz w:val="24"/>
        </w:rPr>
        <w:t>    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D.</w:t>
      </w:r>
      <w:r>
        <w:rPr>
          <w:rFonts w:ascii="宋体" w:hAnsi="宋体" w:cs="宋体" w:hint="eastAsia"/>
          <w:sz w:val="24"/>
        </w:rPr>
        <w:t>借贷记账法的记账规则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．下列各项中，经过初次确认不能纳入会计处理系统的是</w:t>
      </w:r>
      <w:r>
        <w:rPr>
          <w:rFonts w:ascii="宋体" w:hAnsi="宋体" w:cs="宋体" w:hint="eastAsia"/>
          <w:sz w:val="24"/>
        </w:rPr>
        <w:t xml:space="preserve"> (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)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采购人员的差旅费</w:t>
      </w:r>
      <w:r>
        <w:rPr>
          <w:rFonts w:ascii="宋体" w:hAnsi="宋体" w:cs="宋体" w:hint="eastAsia"/>
          <w:sz w:val="24"/>
        </w:rPr>
        <w:t>           B.</w:t>
      </w:r>
      <w:r>
        <w:rPr>
          <w:rFonts w:ascii="宋体" w:hAnsi="宋体" w:cs="宋体" w:hint="eastAsia"/>
          <w:sz w:val="24"/>
        </w:rPr>
        <w:t>销售商品代垫的费用</w:t>
      </w:r>
      <w:r>
        <w:rPr>
          <w:rFonts w:ascii="宋体" w:hAnsi="宋体" w:cs="宋体" w:hint="eastAsia"/>
          <w:sz w:val="24"/>
        </w:rPr>
        <w:t xml:space="preserve">   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C.</w:t>
      </w:r>
      <w:r>
        <w:rPr>
          <w:rFonts w:ascii="宋体" w:hAnsi="宋体" w:cs="宋体" w:hint="eastAsia"/>
          <w:sz w:val="24"/>
        </w:rPr>
        <w:t>物资采购</w:t>
      </w:r>
      <w:proofErr w:type="gramStart"/>
      <w:r>
        <w:rPr>
          <w:rFonts w:ascii="宋体" w:hAnsi="宋体" w:cs="宋体" w:hint="eastAsia"/>
          <w:sz w:val="24"/>
        </w:rPr>
        <w:t>合同内列采购</w:t>
      </w:r>
      <w:proofErr w:type="gramEnd"/>
      <w:r>
        <w:rPr>
          <w:rFonts w:ascii="宋体" w:hAnsi="宋体" w:cs="宋体" w:hint="eastAsia"/>
          <w:sz w:val="24"/>
        </w:rPr>
        <w:t>金额</w:t>
      </w:r>
      <w:r>
        <w:rPr>
          <w:rFonts w:ascii="宋体" w:hAnsi="宋体" w:cs="宋体" w:hint="eastAsia"/>
          <w:sz w:val="24"/>
        </w:rPr>
        <w:t>       D.</w:t>
      </w:r>
      <w:r>
        <w:rPr>
          <w:rFonts w:ascii="宋体" w:hAnsi="宋体" w:cs="宋体" w:hint="eastAsia"/>
          <w:sz w:val="24"/>
        </w:rPr>
        <w:t>支付水电费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．货币计量包含的前提是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)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会计主体</w:t>
      </w:r>
      <w:r>
        <w:rPr>
          <w:rFonts w:ascii="宋体" w:hAnsi="宋体" w:cs="宋体" w:hint="eastAsia"/>
          <w:sz w:val="24"/>
        </w:rPr>
        <w:t>         B.</w:t>
      </w:r>
      <w:r>
        <w:rPr>
          <w:rFonts w:ascii="宋体" w:hAnsi="宋体" w:cs="宋体" w:hint="eastAsia"/>
          <w:sz w:val="24"/>
        </w:rPr>
        <w:t>币值稳定</w:t>
      </w:r>
      <w:r>
        <w:rPr>
          <w:rFonts w:ascii="宋体" w:hAnsi="宋体" w:cs="宋体" w:hint="eastAsia"/>
          <w:sz w:val="24"/>
        </w:rPr>
        <w:t>    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持续经营</w:t>
      </w:r>
      <w:r>
        <w:rPr>
          <w:rFonts w:ascii="宋体" w:hAnsi="宋体" w:cs="宋体" w:hint="eastAsia"/>
          <w:sz w:val="24"/>
        </w:rPr>
        <w:t>       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D.</w:t>
      </w:r>
      <w:r>
        <w:rPr>
          <w:rFonts w:ascii="宋体" w:hAnsi="宋体" w:cs="宋体" w:hint="eastAsia"/>
          <w:sz w:val="24"/>
        </w:rPr>
        <w:t>会计确认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．某企业对生产用固定资产提取折旧编制的会计分录如下：借记“生产成本”科目，贷记“累计折旧”科目并未入账。对此采用的更正方法为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) </w:t>
      </w:r>
    </w:p>
    <w:p w:rsidR="001D6A3E" w:rsidRDefault="00AA201C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编制红字分录冲销会计科目更正法</w:t>
      </w:r>
      <w:r>
        <w:rPr>
          <w:rFonts w:ascii="宋体" w:hAnsi="宋体" w:cs="宋体" w:hint="eastAsia"/>
          <w:sz w:val="24"/>
        </w:rPr>
        <w:t>       B.</w:t>
      </w:r>
      <w:r>
        <w:rPr>
          <w:rFonts w:ascii="宋体" w:hAnsi="宋体" w:cs="宋体" w:hint="eastAsia"/>
          <w:sz w:val="24"/>
        </w:rPr>
        <w:t>划线更正法</w:t>
      </w:r>
      <w:r>
        <w:rPr>
          <w:rFonts w:ascii="宋体" w:hAnsi="宋体" w:cs="宋体" w:hint="eastAsia"/>
          <w:sz w:val="24"/>
        </w:rPr>
        <w:t xml:space="preserve">  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编制红字分录冲销金额更正法</w:t>
      </w:r>
      <w:r>
        <w:rPr>
          <w:rFonts w:ascii="宋体" w:hAnsi="宋体" w:cs="宋体" w:hint="eastAsia"/>
          <w:sz w:val="24"/>
        </w:rPr>
        <w:t>         D.</w:t>
      </w:r>
      <w:r>
        <w:rPr>
          <w:rFonts w:ascii="宋体" w:hAnsi="宋体" w:cs="宋体" w:hint="eastAsia"/>
          <w:sz w:val="24"/>
        </w:rPr>
        <w:t>补充登记法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．下列各项中，组织会计凭证应遵循的原则是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)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内部牵制</w:t>
      </w:r>
      <w:r>
        <w:rPr>
          <w:rFonts w:ascii="宋体" w:hAnsi="宋体" w:cs="宋体" w:hint="eastAsia"/>
          <w:sz w:val="24"/>
        </w:rPr>
        <w:t>          B.</w:t>
      </w:r>
      <w:r>
        <w:rPr>
          <w:rFonts w:ascii="宋体" w:hAnsi="宋体" w:cs="宋体" w:hint="eastAsia"/>
          <w:sz w:val="24"/>
        </w:rPr>
        <w:t>历史成本计价原则</w:t>
      </w:r>
      <w:r>
        <w:rPr>
          <w:rFonts w:ascii="宋体" w:hAnsi="宋体" w:cs="宋体" w:hint="eastAsia"/>
          <w:sz w:val="24"/>
        </w:rPr>
        <w:t>   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权责发生制原则</w:t>
      </w:r>
      <w:r>
        <w:rPr>
          <w:rFonts w:ascii="宋体" w:hAnsi="宋体" w:cs="宋体" w:hint="eastAsia"/>
          <w:sz w:val="24"/>
        </w:rPr>
        <w:t>       D.</w:t>
      </w:r>
      <w:r>
        <w:rPr>
          <w:rFonts w:ascii="宋体" w:hAnsi="宋体" w:cs="宋体" w:hint="eastAsia"/>
          <w:sz w:val="24"/>
        </w:rPr>
        <w:t>谨慎性原则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0</w:t>
      </w:r>
      <w:r>
        <w:rPr>
          <w:rFonts w:ascii="宋体" w:hAnsi="宋体" w:cs="宋体" w:hint="eastAsia"/>
          <w:sz w:val="24"/>
        </w:rPr>
        <w:t>．下列各项中，不属于一次凭证的是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)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销售商品时开具的增值税发票</w:t>
      </w:r>
      <w:r>
        <w:rPr>
          <w:rFonts w:ascii="宋体" w:hAnsi="宋体" w:cs="宋体" w:hint="eastAsia"/>
          <w:sz w:val="24"/>
        </w:rPr>
        <w:t>    B.</w:t>
      </w:r>
      <w:r>
        <w:rPr>
          <w:rFonts w:ascii="宋体" w:hAnsi="宋体" w:cs="宋体" w:hint="eastAsia"/>
          <w:sz w:val="24"/>
        </w:rPr>
        <w:t>限额领料单</w:t>
      </w:r>
      <w:r>
        <w:rPr>
          <w:rFonts w:ascii="宋体" w:hAnsi="宋体" w:cs="宋体" w:hint="eastAsia"/>
          <w:sz w:val="24"/>
        </w:rPr>
        <w:t>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购进材料时开具的入库单</w:t>
      </w:r>
      <w:r>
        <w:rPr>
          <w:rFonts w:ascii="宋体" w:hAnsi="宋体" w:cs="宋体" w:hint="eastAsia"/>
          <w:sz w:val="24"/>
        </w:rPr>
        <w:t>    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D.</w:t>
      </w:r>
      <w:r>
        <w:rPr>
          <w:rFonts w:ascii="宋体" w:hAnsi="宋体" w:cs="宋体" w:hint="eastAsia"/>
          <w:sz w:val="24"/>
        </w:rPr>
        <w:t>领料单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 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．在采用汇总记账凭证核算组织程序的情况下，汇总付款凭证的编制方法是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)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按借方科目设置按贷方科目归类</w:t>
      </w:r>
      <w:r>
        <w:rPr>
          <w:rFonts w:ascii="宋体" w:hAnsi="宋体" w:cs="宋体" w:hint="eastAsia"/>
          <w:sz w:val="24"/>
        </w:rPr>
        <w:t> 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B.</w:t>
      </w:r>
      <w:r>
        <w:rPr>
          <w:rFonts w:ascii="宋体" w:hAnsi="宋体" w:cs="宋体" w:hint="eastAsia"/>
          <w:sz w:val="24"/>
        </w:rPr>
        <w:t>按借方科目设置按借方科目归类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按贷方科目设置按借方科目归类</w:t>
      </w:r>
      <w:r>
        <w:rPr>
          <w:rFonts w:ascii="宋体" w:hAnsi="宋体" w:cs="宋体" w:hint="eastAsia"/>
          <w:sz w:val="24"/>
        </w:rPr>
        <w:t>   D.</w:t>
      </w:r>
      <w:r>
        <w:rPr>
          <w:rFonts w:ascii="宋体" w:hAnsi="宋体" w:cs="宋体" w:hint="eastAsia"/>
          <w:sz w:val="24"/>
        </w:rPr>
        <w:t>按贷方科目设置按贷方科目归类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．下列各项中，属于“从银行转账支付”业务的原始凭证是</w:t>
      </w:r>
      <w:r>
        <w:rPr>
          <w:rFonts w:ascii="宋体" w:hAnsi="宋体" w:cs="宋体" w:hint="eastAsia"/>
          <w:sz w:val="24"/>
        </w:rPr>
        <w:t>(A) </w:t>
      </w:r>
    </w:p>
    <w:p w:rsidR="001D6A3E" w:rsidRDefault="00AA201C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转账支票存根</w:t>
      </w:r>
      <w:r>
        <w:rPr>
          <w:rFonts w:ascii="宋体" w:hAnsi="宋体" w:cs="宋体" w:hint="eastAsia"/>
          <w:sz w:val="24"/>
        </w:rPr>
        <w:t>     B.</w:t>
      </w:r>
      <w:r>
        <w:rPr>
          <w:rFonts w:ascii="宋体" w:hAnsi="宋体" w:cs="宋体" w:hint="eastAsia"/>
          <w:sz w:val="24"/>
        </w:rPr>
        <w:t>现金支票存根</w:t>
      </w:r>
      <w:r>
        <w:rPr>
          <w:rFonts w:ascii="宋体" w:hAnsi="宋体" w:cs="宋体" w:hint="eastAsia"/>
          <w:sz w:val="24"/>
        </w:rPr>
        <w:t>     </w:t>
      </w:r>
    </w:p>
    <w:p w:rsidR="001D6A3E" w:rsidRDefault="00AA201C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进账单</w:t>
      </w:r>
      <w:r>
        <w:rPr>
          <w:rFonts w:ascii="宋体" w:hAnsi="宋体" w:cs="宋体" w:hint="eastAsia"/>
          <w:sz w:val="24"/>
        </w:rPr>
        <w:t>      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D.</w:t>
      </w:r>
      <w:r>
        <w:rPr>
          <w:rFonts w:ascii="宋体" w:hAnsi="宋体" w:cs="宋体" w:hint="eastAsia"/>
          <w:sz w:val="24"/>
        </w:rPr>
        <w:t>汇款单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、借贷记账法的余额试算平衡的理论依据是（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权责发生制</w:t>
      </w:r>
      <w:r>
        <w:rPr>
          <w:rFonts w:ascii="宋体" w:hAnsi="宋体" w:cs="宋体" w:hint="eastAsia"/>
          <w:sz w:val="24"/>
        </w:rPr>
        <w:t>    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B.</w:t>
      </w:r>
      <w:r>
        <w:rPr>
          <w:rFonts w:ascii="宋体" w:hAnsi="宋体" w:cs="宋体" w:hint="eastAsia"/>
          <w:sz w:val="24"/>
        </w:rPr>
        <w:t>资产</w:t>
      </w: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sz w:val="24"/>
        </w:rPr>
        <w:t>负债</w:t>
      </w:r>
      <w:r>
        <w:rPr>
          <w:rFonts w:ascii="宋体" w:hAnsi="宋体" w:cs="宋体" w:hint="eastAsia"/>
          <w:sz w:val="24"/>
        </w:rPr>
        <w:t>+</w:t>
      </w:r>
      <w:r>
        <w:rPr>
          <w:rFonts w:ascii="宋体" w:hAnsi="宋体" w:cs="宋体" w:hint="eastAsia"/>
          <w:sz w:val="24"/>
        </w:rPr>
        <w:t>所有者权益</w:t>
      </w:r>
      <w:r>
        <w:rPr>
          <w:rFonts w:ascii="宋体" w:hAnsi="宋体" w:cs="宋体" w:hint="eastAsia"/>
          <w:sz w:val="24"/>
        </w:rPr>
        <w:t xml:space="preserve">   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收入</w:t>
      </w:r>
      <w:proofErr w:type="gramStart"/>
      <w:r>
        <w:rPr>
          <w:rFonts w:ascii="宋体" w:hAnsi="宋体" w:cs="宋体" w:hint="eastAsia"/>
          <w:sz w:val="24"/>
        </w:rPr>
        <w:t>—费用</w:t>
      </w:r>
      <w:proofErr w:type="gramEnd"/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sz w:val="24"/>
        </w:rPr>
        <w:t>利润</w:t>
      </w:r>
      <w:r>
        <w:rPr>
          <w:rFonts w:ascii="宋体" w:hAnsi="宋体" w:cs="宋体" w:hint="eastAsia"/>
          <w:sz w:val="24"/>
        </w:rPr>
        <w:t>  D.</w:t>
      </w:r>
      <w:r>
        <w:rPr>
          <w:rFonts w:ascii="宋体" w:hAnsi="宋体" w:cs="宋体" w:hint="eastAsia"/>
          <w:sz w:val="24"/>
        </w:rPr>
        <w:t>借贷记账法的记账规则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4.</w:t>
      </w:r>
      <w:r>
        <w:rPr>
          <w:rFonts w:ascii="宋体" w:hAnsi="宋体" w:cs="宋体" w:hint="eastAsia"/>
          <w:sz w:val="24"/>
        </w:rPr>
        <w:t>下列各项中，既属于资产负债表账户又属</w:t>
      </w:r>
      <w:r>
        <w:rPr>
          <w:rFonts w:ascii="宋体" w:hAnsi="宋体" w:cs="宋体" w:hint="eastAsia"/>
          <w:sz w:val="24"/>
        </w:rPr>
        <w:t>于利润表账户的是</w:t>
      </w:r>
      <w:r>
        <w:rPr>
          <w:rFonts w:ascii="宋体" w:hAnsi="宋体" w:cs="宋体" w:hint="eastAsia"/>
          <w:sz w:val="24"/>
        </w:rPr>
        <w:t>(   )</w:t>
      </w:r>
    </w:p>
    <w:p w:rsidR="001D6A3E" w:rsidRDefault="00AA201C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利润分配</w:t>
      </w:r>
      <w:r>
        <w:rPr>
          <w:rFonts w:ascii="宋体" w:hAnsi="宋体" w:cs="宋体" w:hint="eastAsia"/>
          <w:sz w:val="24"/>
        </w:rPr>
        <w:t>    B.</w:t>
      </w:r>
      <w:r>
        <w:rPr>
          <w:rFonts w:ascii="宋体" w:hAnsi="宋体" w:cs="宋体" w:hint="eastAsia"/>
          <w:sz w:val="24"/>
        </w:rPr>
        <w:t>本年利润</w:t>
      </w:r>
      <w:r>
        <w:rPr>
          <w:rFonts w:ascii="宋体" w:hAnsi="宋体" w:cs="宋体" w:hint="eastAsia"/>
          <w:sz w:val="24"/>
        </w:rPr>
        <w:t>  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营业收入</w:t>
      </w:r>
      <w:r>
        <w:rPr>
          <w:rFonts w:ascii="宋体" w:hAnsi="宋体" w:cs="宋体" w:hint="eastAsia"/>
          <w:sz w:val="24"/>
        </w:rPr>
        <w:t>        D.</w:t>
      </w:r>
      <w:r>
        <w:rPr>
          <w:rFonts w:ascii="宋体" w:hAnsi="宋体" w:cs="宋体" w:hint="eastAsia"/>
          <w:sz w:val="24"/>
        </w:rPr>
        <w:t>应付利润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．下列各项中，属于“从银行提取现金”业务的原始凭证是（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转账支票存根</w:t>
      </w:r>
      <w:r>
        <w:rPr>
          <w:rFonts w:ascii="宋体" w:hAnsi="宋体" w:cs="宋体" w:hint="eastAsia"/>
          <w:sz w:val="24"/>
        </w:rPr>
        <w:t>      B.</w:t>
      </w:r>
      <w:r>
        <w:rPr>
          <w:rFonts w:ascii="宋体" w:hAnsi="宋体" w:cs="宋体" w:hint="eastAsia"/>
          <w:sz w:val="24"/>
        </w:rPr>
        <w:t>现金支票存根</w:t>
      </w:r>
      <w:r>
        <w:rPr>
          <w:rFonts w:ascii="宋体" w:hAnsi="宋体" w:cs="宋体" w:hint="eastAsia"/>
          <w:sz w:val="24"/>
        </w:rPr>
        <w:t>   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C.</w:t>
      </w:r>
      <w:r>
        <w:rPr>
          <w:rFonts w:ascii="宋体" w:hAnsi="宋体" w:cs="宋体" w:hint="eastAsia"/>
          <w:sz w:val="24"/>
        </w:rPr>
        <w:t>进账单</w:t>
      </w:r>
      <w:r>
        <w:rPr>
          <w:rFonts w:ascii="宋体" w:hAnsi="宋体" w:cs="宋体" w:hint="eastAsia"/>
          <w:sz w:val="24"/>
        </w:rPr>
        <w:t>         D.</w:t>
      </w:r>
      <w:r>
        <w:rPr>
          <w:rFonts w:ascii="宋体" w:hAnsi="宋体" w:cs="宋体" w:hint="eastAsia"/>
          <w:sz w:val="24"/>
        </w:rPr>
        <w:t>汇款单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6.</w:t>
      </w:r>
      <w:r>
        <w:rPr>
          <w:rFonts w:ascii="宋体" w:hAnsi="宋体" w:cs="宋体" w:hint="eastAsia"/>
          <w:sz w:val="24"/>
        </w:rPr>
        <w:t>车间生产产品领用材料</w:t>
      </w:r>
      <w:r>
        <w:rPr>
          <w:rFonts w:ascii="宋体" w:hAnsi="宋体" w:cs="宋体" w:hint="eastAsia"/>
          <w:sz w:val="24"/>
        </w:rPr>
        <w:t>85000</w:t>
      </w:r>
      <w:r>
        <w:rPr>
          <w:rFonts w:ascii="宋体" w:hAnsi="宋体" w:cs="宋体" w:hint="eastAsia"/>
          <w:sz w:val="24"/>
        </w:rPr>
        <w:t>元，对此编制的记账凭证如下：借记“生产成本”科目</w:t>
      </w:r>
      <w:r>
        <w:rPr>
          <w:rFonts w:ascii="宋体" w:hAnsi="宋体" w:cs="宋体" w:hint="eastAsia"/>
          <w:sz w:val="24"/>
        </w:rPr>
        <w:t>58000</w:t>
      </w:r>
      <w:r>
        <w:rPr>
          <w:rFonts w:ascii="宋体" w:hAnsi="宋体" w:cs="宋体" w:hint="eastAsia"/>
          <w:sz w:val="24"/>
        </w:rPr>
        <w:t>元，贷记“原材料”科目</w:t>
      </w:r>
      <w:r>
        <w:rPr>
          <w:rFonts w:ascii="宋体" w:hAnsi="宋体" w:cs="宋体" w:hint="eastAsia"/>
          <w:sz w:val="24"/>
        </w:rPr>
        <w:t>58000</w:t>
      </w:r>
      <w:r>
        <w:rPr>
          <w:rFonts w:ascii="宋体" w:hAnsi="宋体" w:cs="宋体" w:hint="eastAsia"/>
          <w:sz w:val="24"/>
        </w:rPr>
        <w:t>元，并已记账。对此采用的更正方法为（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划线更正法</w:t>
      </w:r>
      <w:r>
        <w:rPr>
          <w:rFonts w:ascii="宋体" w:hAnsi="宋体" w:cs="宋体" w:hint="eastAsia"/>
          <w:sz w:val="24"/>
        </w:rPr>
        <w:t>  </w:t>
      </w:r>
      <w:r>
        <w:rPr>
          <w:rFonts w:ascii="宋体" w:hAnsi="宋体" w:cs="宋体" w:hint="eastAsia"/>
          <w:sz w:val="24"/>
        </w:rPr>
        <w:t xml:space="preserve">                </w:t>
      </w:r>
      <w:r>
        <w:rPr>
          <w:rFonts w:ascii="宋体" w:hAnsi="宋体" w:cs="宋体" w:hint="eastAsia"/>
          <w:sz w:val="24"/>
        </w:rPr>
        <w:t>B.</w:t>
      </w:r>
      <w:r>
        <w:rPr>
          <w:rFonts w:ascii="宋体" w:hAnsi="宋体" w:cs="宋体" w:hint="eastAsia"/>
          <w:sz w:val="24"/>
        </w:rPr>
        <w:t>编制红</w:t>
      </w:r>
      <w:r>
        <w:rPr>
          <w:rFonts w:ascii="宋体" w:hAnsi="宋体" w:cs="宋体" w:hint="eastAsia"/>
          <w:sz w:val="24"/>
        </w:rPr>
        <w:t>字分录冲销会计科目更正法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编制红字分录冲销金额更正法</w:t>
      </w:r>
      <w:r>
        <w:rPr>
          <w:rFonts w:ascii="宋体" w:hAnsi="宋体" w:cs="宋体" w:hint="eastAsia"/>
          <w:sz w:val="24"/>
        </w:rPr>
        <w:t>  D.</w:t>
      </w:r>
      <w:r>
        <w:rPr>
          <w:rFonts w:ascii="宋体" w:hAnsi="宋体" w:cs="宋体" w:hint="eastAsia"/>
          <w:sz w:val="24"/>
        </w:rPr>
        <w:t>补充登记法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7.</w:t>
      </w:r>
      <w:r>
        <w:rPr>
          <w:rFonts w:ascii="宋体" w:hAnsi="宋体" w:cs="宋体" w:hint="eastAsia"/>
          <w:sz w:val="24"/>
        </w:rPr>
        <w:t>下列各项中，与分录日记账作用相同的是（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记账凭证</w:t>
      </w:r>
      <w:r>
        <w:rPr>
          <w:rFonts w:ascii="宋体" w:hAnsi="宋体" w:cs="宋体" w:hint="eastAsia"/>
          <w:sz w:val="24"/>
        </w:rPr>
        <w:t>   </w:t>
      </w:r>
      <w:r>
        <w:rPr>
          <w:rFonts w:ascii="宋体" w:hAnsi="宋体" w:cs="宋体" w:hint="eastAsia"/>
          <w:sz w:val="24"/>
        </w:rPr>
        <w:t xml:space="preserve">                </w:t>
      </w:r>
      <w:r>
        <w:rPr>
          <w:rFonts w:ascii="宋体" w:hAnsi="宋体" w:cs="宋体" w:hint="eastAsia"/>
          <w:sz w:val="24"/>
        </w:rPr>
        <w:t>B.</w:t>
      </w:r>
      <w:r>
        <w:rPr>
          <w:rFonts w:ascii="宋体" w:hAnsi="宋体" w:cs="宋体" w:hint="eastAsia"/>
          <w:sz w:val="24"/>
        </w:rPr>
        <w:t>科目汇总表</w:t>
      </w:r>
      <w:r>
        <w:rPr>
          <w:rFonts w:ascii="宋体" w:hAnsi="宋体" w:cs="宋体" w:hint="eastAsia"/>
          <w:sz w:val="24"/>
        </w:rPr>
        <w:t>     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汇总记账凭证</w:t>
      </w:r>
      <w:r>
        <w:rPr>
          <w:rFonts w:ascii="宋体" w:hAnsi="宋体" w:cs="宋体" w:hint="eastAsia"/>
          <w:sz w:val="24"/>
        </w:rPr>
        <w:t>         D.</w:t>
      </w:r>
      <w:r>
        <w:rPr>
          <w:rFonts w:ascii="宋体" w:hAnsi="宋体" w:cs="宋体" w:hint="eastAsia"/>
          <w:sz w:val="24"/>
        </w:rPr>
        <w:t>试算平衡表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8.</w:t>
      </w:r>
      <w:r>
        <w:rPr>
          <w:rFonts w:ascii="宋体" w:hAnsi="宋体" w:cs="宋体" w:hint="eastAsia"/>
          <w:sz w:val="24"/>
        </w:rPr>
        <w:t>初次确认的载体是</w:t>
      </w:r>
      <w:r>
        <w:rPr>
          <w:rFonts w:ascii="宋体" w:hAnsi="宋体" w:cs="宋体" w:hint="eastAsia"/>
          <w:sz w:val="24"/>
        </w:rPr>
        <w:t>(   )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凭证、账簿</w:t>
      </w:r>
      <w:r>
        <w:rPr>
          <w:rFonts w:ascii="宋体" w:hAnsi="宋体" w:cs="宋体" w:hint="eastAsia"/>
          <w:sz w:val="24"/>
        </w:rPr>
        <w:t>      B.</w:t>
      </w:r>
      <w:r>
        <w:rPr>
          <w:rFonts w:ascii="宋体" w:hAnsi="宋体" w:cs="宋体" w:hint="eastAsia"/>
          <w:sz w:val="24"/>
        </w:rPr>
        <w:t>会计报表</w:t>
      </w:r>
      <w:r>
        <w:rPr>
          <w:rFonts w:ascii="宋体" w:hAnsi="宋体" w:cs="宋体" w:hint="eastAsia"/>
          <w:sz w:val="24"/>
        </w:rPr>
        <w:t>    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工作底稿</w:t>
      </w:r>
      <w:r>
        <w:rPr>
          <w:rFonts w:ascii="宋体" w:hAnsi="宋体" w:cs="宋体" w:hint="eastAsia"/>
          <w:sz w:val="24"/>
        </w:rPr>
        <w:t>       D.</w:t>
      </w:r>
      <w:r>
        <w:rPr>
          <w:rFonts w:ascii="宋体" w:hAnsi="宋体" w:cs="宋体" w:hint="eastAsia"/>
          <w:sz w:val="24"/>
        </w:rPr>
        <w:t>分析报表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9.</w:t>
      </w:r>
      <w:r>
        <w:rPr>
          <w:rFonts w:ascii="宋体" w:hAnsi="宋体" w:cs="宋体" w:hint="eastAsia"/>
          <w:sz w:val="24"/>
        </w:rPr>
        <w:t>企业预付材料款时，应借记的科目是（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材料采购</w:t>
      </w:r>
      <w:r>
        <w:rPr>
          <w:rFonts w:ascii="宋体" w:hAnsi="宋体" w:cs="宋体" w:hint="eastAsia"/>
          <w:sz w:val="24"/>
        </w:rPr>
        <w:t>         B.</w:t>
      </w:r>
      <w:r>
        <w:rPr>
          <w:rFonts w:ascii="宋体" w:hAnsi="宋体" w:cs="宋体" w:hint="eastAsia"/>
          <w:sz w:val="24"/>
        </w:rPr>
        <w:t>原材料</w:t>
      </w:r>
      <w:r>
        <w:rPr>
          <w:rFonts w:ascii="宋体" w:hAnsi="宋体" w:cs="宋体" w:hint="eastAsia"/>
          <w:sz w:val="24"/>
        </w:rPr>
        <w:t>        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应付账款</w:t>
      </w:r>
      <w:r>
        <w:rPr>
          <w:rFonts w:ascii="宋体" w:hAnsi="宋体" w:cs="宋体" w:hint="eastAsia"/>
          <w:sz w:val="24"/>
        </w:rPr>
        <w:t>         D.</w:t>
      </w:r>
      <w:r>
        <w:rPr>
          <w:rFonts w:ascii="宋体" w:hAnsi="宋体" w:cs="宋体" w:hint="eastAsia"/>
          <w:sz w:val="24"/>
        </w:rPr>
        <w:t>预付账款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0.</w:t>
      </w:r>
      <w:r>
        <w:rPr>
          <w:rFonts w:ascii="宋体" w:hAnsi="宋体" w:cs="宋体" w:hint="eastAsia"/>
          <w:sz w:val="24"/>
        </w:rPr>
        <w:t>下列各项中，适用于贷方设置多栏，借方可以不设置或仅设一栏明细账格式的是（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本年利润</w:t>
      </w:r>
      <w:r>
        <w:rPr>
          <w:rFonts w:ascii="宋体" w:hAnsi="宋体" w:cs="宋体" w:hint="eastAsia"/>
          <w:sz w:val="24"/>
        </w:rPr>
        <w:t>        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B.</w:t>
      </w:r>
      <w:r>
        <w:rPr>
          <w:rFonts w:ascii="宋体" w:hAnsi="宋体" w:cs="宋体" w:hint="eastAsia"/>
          <w:sz w:val="24"/>
        </w:rPr>
        <w:t>管理费用</w:t>
      </w:r>
      <w:r>
        <w:rPr>
          <w:rFonts w:ascii="宋体" w:hAnsi="宋体" w:cs="宋体" w:hint="eastAsia"/>
          <w:sz w:val="24"/>
        </w:rPr>
        <w:t>         </w:t>
      </w:r>
    </w:p>
    <w:p w:rsidR="001D6A3E" w:rsidRDefault="00AA201C">
      <w:pPr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生产成本</w:t>
      </w:r>
      <w:r>
        <w:rPr>
          <w:rFonts w:ascii="宋体" w:hAnsi="宋体" w:cs="宋体" w:hint="eastAsia"/>
          <w:sz w:val="24"/>
        </w:rPr>
        <w:t>         D.</w:t>
      </w:r>
      <w:r>
        <w:rPr>
          <w:rFonts w:ascii="宋体" w:hAnsi="宋体" w:cs="宋体" w:hint="eastAsia"/>
          <w:sz w:val="24"/>
        </w:rPr>
        <w:t>主营业务收入</w:t>
      </w:r>
    </w:p>
    <w:p w:rsidR="001D6A3E" w:rsidRDefault="00AA201C">
      <w:pPr>
        <w:spacing w:line="360" w:lineRule="auto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判断题。</w:t>
      </w:r>
      <w:r>
        <w:rPr>
          <w:rFonts w:hint="eastAsia"/>
          <w:b/>
        </w:rPr>
        <w:t>（</w:t>
      </w:r>
      <w:r>
        <w:rPr>
          <w:rFonts w:hint="eastAsia"/>
          <w:b/>
        </w:rPr>
        <w:t>正确的打“</w:t>
      </w:r>
      <w:r>
        <w:rPr>
          <w:rFonts w:ascii="Arial" w:hAnsi="Arial" w:cs="Arial"/>
          <w:b/>
        </w:rPr>
        <w:t>√</w:t>
      </w:r>
      <w:r>
        <w:rPr>
          <w:rFonts w:hint="eastAsia"/>
          <w:b/>
        </w:rPr>
        <w:t>”，错误的打“</w:t>
      </w:r>
      <w:r>
        <w:rPr>
          <w:rFonts w:ascii="Arial" w:hAnsi="Arial" w:cs="Arial"/>
          <w:b/>
        </w:rPr>
        <w:t>×</w:t>
      </w:r>
      <w:r>
        <w:rPr>
          <w:rFonts w:hint="eastAsia"/>
          <w:b/>
        </w:rPr>
        <w:t>”，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本题共</w:t>
      </w:r>
      <w:r>
        <w:rPr>
          <w:rFonts w:hint="eastAsia"/>
          <w:b/>
        </w:rPr>
        <w:t>10</w:t>
      </w:r>
      <w:r>
        <w:rPr>
          <w:rFonts w:hint="eastAsia"/>
          <w:b/>
        </w:rPr>
        <w:t>小题，每小题</w:t>
      </w:r>
      <w:r>
        <w:rPr>
          <w:rFonts w:hint="eastAsia"/>
          <w:b/>
        </w:rPr>
        <w:t>1.5</w:t>
      </w:r>
      <w:r>
        <w:rPr>
          <w:rFonts w:hint="eastAsia"/>
          <w:b/>
        </w:rPr>
        <w:t>分，共</w:t>
      </w:r>
      <w:r>
        <w:rPr>
          <w:rFonts w:hint="eastAsia"/>
          <w:b/>
        </w:rPr>
        <w:t>15</w:t>
      </w:r>
      <w:r>
        <w:rPr>
          <w:rFonts w:hint="eastAsia"/>
          <w:b/>
        </w:rPr>
        <w:t>分</w:t>
      </w:r>
      <w:r>
        <w:rPr>
          <w:rFonts w:hint="eastAsia"/>
          <w:b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．采用加权平均法对发出存货进行计价的情况下，只能在月</w:t>
      </w:r>
      <w:proofErr w:type="gramStart"/>
      <w:r>
        <w:rPr>
          <w:rFonts w:ascii="宋体" w:hAnsi="宋体" w:cs="宋体" w:hint="eastAsia"/>
          <w:sz w:val="24"/>
        </w:rPr>
        <w:t>末时</w:t>
      </w:r>
      <w:proofErr w:type="gramEnd"/>
      <w:r>
        <w:rPr>
          <w:rFonts w:ascii="宋体" w:hAnsi="宋体" w:cs="宋体" w:hint="eastAsia"/>
          <w:sz w:val="24"/>
        </w:rPr>
        <w:t>才可以对发出存货进行计价。（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．会计确认、会计计量实际上是融合在会计记录之中的。（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．为了保证</w:t>
      </w:r>
      <w:r>
        <w:rPr>
          <w:rFonts w:ascii="宋体" w:hAnsi="宋体" w:cs="宋体" w:hint="eastAsia"/>
          <w:sz w:val="24"/>
        </w:rPr>
        <w:t>会计报表的及时性，可以提前结账。（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．企业只要进行经营活动，所有者权益的确认就必须依赖资产和负债。（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．如果发生单位撤销，合并和改变隶属关系时，应进行全面清查。（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．会计分期不同对各期的利润总额不会产生影响。（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．限额领料单属于一次性凭证。（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．在物价变动的情况下，按历史成本计价也可以真实地反映资产的实际价值。（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．记账凭证核算组织程序是最基本的核算组织程序，其他核算组织程序都是在此基础上发展起来的。</w:t>
      </w:r>
      <w:r>
        <w:rPr>
          <w:rFonts w:ascii="宋体" w:hAnsi="宋体" w:cs="宋体" w:hint="eastAsia"/>
          <w:sz w:val="24"/>
        </w:rPr>
        <w:t> 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1</w:t>
      </w:r>
      <w:r>
        <w:rPr>
          <w:rFonts w:ascii="宋体" w:hAnsi="宋体" w:cs="宋体" w:hint="eastAsia"/>
          <w:sz w:val="24"/>
        </w:rPr>
        <w:t>0</w:t>
      </w:r>
      <w:r>
        <w:rPr>
          <w:rFonts w:ascii="宋体" w:hAnsi="宋体" w:cs="宋体" w:hint="eastAsia"/>
          <w:sz w:val="24"/>
        </w:rPr>
        <w:t>．在会计凭证传递过程中，应保证传递程序的合理化，制度化和传递时间的节约。（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</w:p>
    <w:p w:rsidR="001D6A3E" w:rsidRDefault="00AA201C">
      <w:pPr>
        <w:spacing w:line="360" w:lineRule="auto"/>
        <w:rPr>
          <w:rFonts w:ascii="宋体" w:hAnsi="宋体"/>
          <w:b/>
          <w:bCs/>
          <w:color w:val="000000" w:themeColor="text1"/>
          <w:sz w:val="24"/>
          <w:szCs w:val="254"/>
        </w:rPr>
      </w:pPr>
      <w:r>
        <w:rPr>
          <w:rFonts w:hint="eastAsia"/>
          <w:b/>
          <w:color w:val="000000" w:themeColor="text1"/>
        </w:rPr>
        <w:t>三</w:t>
      </w:r>
      <w:r>
        <w:rPr>
          <w:b/>
          <w:color w:val="000000" w:themeColor="text1"/>
        </w:rPr>
        <w:t>、</w:t>
      </w:r>
      <w:r>
        <w:rPr>
          <w:rFonts w:hint="eastAsia"/>
          <w:b/>
          <w:color w:val="000000" w:themeColor="text1"/>
        </w:rPr>
        <w:t>简答题</w:t>
      </w:r>
      <w:r>
        <w:rPr>
          <w:rFonts w:hint="eastAsia"/>
          <w:b/>
          <w:color w:val="000000" w:themeColor="text1"/>
        </w:rPr>
        <w:t>（</w:t>
      </w:r>
      <w:r>
        <w:rPr>
          <w:rFonts w:hint="eastAsia"/>
          <w:b/>
          <w:color w:val="000000" w:themeColor="text1"/>
        </w:rPr>
        <w:t>本题共</w:t>
      </w:r>
      <w:r>
        <w:rPr>
          <w:rFonts w:hint="eastAsia"/>
          <w:b/>
          <w:color w:val="000000" w:themeColor="text1"/>
        </w:rPr>
        <w:t>3</w:t>
      </w:r>
      <w:r>
        <w:rPr>
          <w:rFonts w:hint="eastAsia"/>
          <w:b/>
          <w:color w:val="000000" w:themeColor="text1"/>
        </w:rPr>
        <w:t>小题</w:t>
      </w:r>
      <w:r>
        <w:rPr>
          <w:rFonts w:hint="eastAsia"/>
          <w:b/>
          <w:color w:val="000000" w:themeColor="text1"/>
        </w:rPr>
        <w:t>，</w:t>
      </w:r>
      <w:r>
        <w:rPr>
          <w:b/>
          <w:color w:val="000000" w:themeColor="text1"/>
        </w:rPr>
        <w:t>每小题</w:t>
      </w:r>
      <w:r>
        <w:rPr>
          <w:rFonts w:hint="eastAsia"/>
          <w:b/>
          <w:color w:val="000000" w:themeColor="text1"/>
        </w:rPr>
        <w:t>10</w:t>
      </w:r>
      <w:r>
        <w:rPr>
          <w:b/>
          <w:color w:val="000000" w:themeColor="text1"/>
        </w:rPr>
        <w:t>分，</w:t>
      </w:r>
      <w:r>
        <w:rPr>
          <w:rFonts w:hint="eastAsia"/>
          <w:b/>
          <w:color w:val="000000" w:themeColor="text1"/>
        </w:rPr>
        <w:t>共</w:t>
      </w:r>
      <w:r>
        <w:rPr>
          <w:rFonts w:hint="eastAsia"/>
          <w:b/>
          <w:color w:val="000000" w:themeColor="text1"/>
        </w:rPr>
        <w:t>30</w:t>
      </w:r>
      <w:r>
        <w:rPr>
          <w:b/>
          <w:color w:val="000000" w:themeColor="text1"/>
        </w:rPr>
        <w:t>分</w:t>
      </w:r>
      <w:r>
        <w:rPr>
          <w:rFonts w:hint="eastAsia"/>
          <w:b/>
          <w:color w:val="000000" w:themeColor="text1"/>
        </w:rPr>
        <w:t>）</w:t>
      </w:r>
      <w:r>
        <w:rPr>
          <w:rFonts w:ascii="宋体" w:hAnsi="宋体"/>
          <w:b/>
          <w:bCs/>
          <w:color w:val="000000" w:themeColor="text1"/>
          <w:sz w:val="24"/>
          <w:szCs w:val="254"/>
        </w:rPr>
        <w:t> </w:t>
      </w:r>
    </w:p>
    <w:p w:rsidR="001D6A3E" w:rsidRDefault="00AA201C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．简述记账凭证核算组织程序的特点、优点、缺点和适用范围。</w:t>
      </w: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AA201C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．编表前的准备工作有哪些</w:t>
      </w:r>
      <w:r>
        <w:rPr>
          <w:rFonts w:ascii="宋体" w:hAnsi="宋体" w:cs="宋体" w:hint="eastAsia"/>
          <w:sz w:val="24"/>
        </w:rPr>
        <w:t>?</w:t>
      </w:r>
    </w:p>
    <w:p w:rsidR="001D6A3E" w:rsidRDefault="00AA201C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AA201C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 </w:t>
      </w: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AA201C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．简述平行登记</w:t>
      </w:r>
      <w:proofErr w:type="gramStart"/>
      <w:r>
        <w:rPr>
          <w:rFonts w:ascii="宋体" w:hAnsi="宋体" w:cs="宋体" w:hint="eastAsia"/>
          <w:sz w:val="24"/>
        </w:rPr>
        <w:t>法登记</w:t>
      </w:r>
      <w:proofErr w:type="gramEnd"/>
      <w:r>
        <w:rPr>
          <w:rFonts w:ascii="宋体" w:hAnsi="宋体" w:cs="宋体" w:hint="eastAsia"/>
          <w:sz w:val="24"/>
        </w:rPr>
        <w:t>规则。</w:t>
      </w:r>
    </w:p>
    <w:p w:rsidR="001D6A3E" w:rsidRDefault="00AA201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</w:p>
    <w:p w:rsidR="001D6A3E" w:rsidRDefault="001D6A3E">
      <w:pPr>
        <w:spacing w:line="360" w:lineRule="auto"/>
        <w:rPr>
          <w:rFonts w:ascii="宋体" w:hAnsi="宋体" w:cs="宋体"/>
          <w:sz w:val="24"/>
        </w:rPr>
      </w:pPr>
    </w:p>
    <w:p w:rsidR="001D6A3E" w:rsidRDefault="001D6A3E">
      <w:pPr>
        <w:spacing w:line="360" w:lineRule="auto"/>
        <w:rPr>
          <w:rFonts w:ascii="宋体" w:hAnsi="宋体" w:cs="宋体"/>
          <w:sz w:val="24"/>
        </w:rPr>
      </w:pPr>
    </w:p>
    <w:p w:rsidR="001D6A3E" w:rsidRDefault="001D6A3E">
      <w:pPr>
        <w:spacing w:line="360" w:lineRule="auto"/>
        <w:rPr>
          <w:rFonts w:ascii="宋体" w:hAnsi="宋体" w:cs="宋体"/>
          <w:sz w:val="24"/>
        </w:rPr>
      </w:pPr>
    </w:p>
    <w:p w:rsidR="001D6A3E" w:rsidRDefault="001D6A3E">
      <w:pPr>
        <w:spacing w:line="360" w:lineRule="auto"/>
        <w:rPr>
          <w:rFonts w:ascii="宋体" w:hAnsi="宋体" w:cs="宋体"/>
          <w:sz w:val="24"/>
        </w:rPr>
      </w:pPr>
    </w:p>
    <w:p w:rsidR="001D6A3E" w:rsidRDefault="001D6A3E">
      <w:pPr>
        <w:spacing w:line="360" w:lineRule="auto"/>
        <w:rPr>
          <w:rFonts w:ascii="宋体" w:hAnsi="宋体" w:cs="宋体"/>
          <w:sz w:val="24"/>
        </w:rPr>
      </w:pPr>
    </w:p>
    <w:p w:rsidR="001D6A3E" w:rsidRDefault="001D6A3E">
      <w:pPr>
        <w:spacing w:line="360" w:lineRule="auto"/>
        <w:rPr>
          <w:rFonts w:ascii="宋体" w:hAnsi="宋体" w:cs="宋体"/>
          <w:sz w:val="24"/>
        </w:rPr>
      </w:pPr>
    </w:p>
    <w:p w:rsidR="001D6A3E" w:rsidRDefault="001D6A3E">
      <w:pPr>
        <w:spacing w:line="360" w:lineRule="auto"/>
        <w:rPr>
          <w:rFonts w:ascii="宋体" w:hAnsi="宋体" w:cs="宋体"/>
          <w:sz w:val="24"/>
        </w:rPr>
      </w:pPr>
    </w:p>
    <w:p w:rsidR="001D6A3E" w:rsidRDefault="00AA201C">
      <w:pPr>
        <w:spacing w:line="360" w:lineRule="auto"/>
        <w:rPr>
          <w:b/>
          <w:color w:val="000000" w:themeColor="text1"/>
        </w:rPr>
      </w:pPr>
      <w:r>
        <w:rPr>
          <w:rFonts w:hint="eastAsia"/>
          <w:b/>
        </w:rPr>
        <w:lastRenderedPageBreak/>
        <w:t>四</w:t>
      </w:r>
      <w:r>
        <w:rPr>
          <w:b/>
        </w:rPr>
        <w:t>、</w:t>
      </w:r>
      <w:r>
        <w:rPr>
          <w:rFonts w:hint="eastAsia"/>
          <w:b/>
          <w:color w:val="000000" w:themeColor="text1"/>
        </w:rPr>
        <w:t>计算题</w:t>
      </w:r>
      <w:r>
        <w:rPr>
          <w:rFonts w:hint="eastAsia"/>
          <w:b/>
          <w:color w:val="000000" w:themeColor="text1"/>
        </w:rPr>
        <w:t>（</w:t>
      </w:r>
      <w:r>
        <w:rPr>
          <w:rFonts w:hint="eastAsia"/>
          <w:b/>
          <w:color w:val="000000" w:themeColor="text1"/>
        </w:rPr>
        <w:t>本题共</w:t>
      </w:r>
      <w:r>
        <w:rPr>
          <w:rFonts w:hint="eastAsia"/>
          <w:b/>
          <w:color w:val="000000" w:themeColor="text1"/>
        </w:rPr>
        <w:t>1</w:t>
      </w:r>
      <w:r>
        <w:rPr>
          <w:rFonts w:hint="eastAsia"/>
          <w:b/>
          <w:color w:val="000000" w:themeColor="text1"/>
        </w:rPr>
        <w:t>小题</w:t>
      </w:r>
      <w:r>
        <w:rPr>
          <w:rFonts w:hint="eastAsia"/>
          <w:b/>
          <w:color w:val="000000" w:themeColor="text1"/>
        </w:rPr>
        <w:t>，</w:t>
      </w:r>
      <w:r>
        <w:rPr>
          <w:rFonts w:hint="eastAsia"/>
          <w:b/>
          <w:color w:val="000000" w:themeColor="text1"/>
        </w:rPr>
        <w:t>共</w:t>
      </w:r>
      <w:r>
        <w:rPr>
          <w:rFonts w:hint="eastAsia"/>
          <w:b/>
          <w:color w:val="000000" w:themeColor="text1"/>
        </w:rPr>
        <w:t>15</w:t>
      </w:r>
      <w:r>
        <w:rPr>
          <w:b/>
          <w:color w:val="000000" w:themeColor="text1"/>
        </w:rPr>
        <w:t>分</w:t>
      </w:r>
      <w:r>
        <w:rPr>
          <w:rFonts w:hint="eastAsia"/>
          <w:b/>
          <w:color w:val="000000" w:themeColor="text1"/>
        </w:rPr>
        <w:t>）</w:t>
      </w:r>
    </w:p>
    <w:p w:rsidR="001D6A3E" w:rsidRDefault="00AA201C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．某企业年度销货成本为</w:t>
      </w:r>
      <w:r>
        <w:rPr>
          <w:rFonts w:ascii="宋体" w:hAnsi="宋体" w:cs="宋体" w:hint="eastAsia"/>
          <w:sz w:val="24"/>
        </w:rPr>
        <w:t>30000</w:t>
      </w:r>
      <w:r>
        <w:rPr>
          <w:rFonts w:ascii="宋体" w:hAnsi="宋体" w:cs="宋体" w:hint="eastAsia"/>
          <w:sz w:val="24"/>
        </w:rPr>
        <w:t>元，起初存货余额为</w:t>
      </w:r>
      <w:r>
        <w:rPr>
          <w:rFonts w:ascii="宋体" w:hAnsi="宋体" w:cs="宋体" w:hint="eastAsia"/>
          <w:sz w:val="24"/>
        </w:rPr>
        <w:t>4000</w:t>
      </w:r>
      <w:r>
        <w:rPr>
          <w:rFonts w:ascii="宋体" w:hAnsi="宋体" w:cs="宋体" w:hint="eastAsia"/>
          <w:sz w:val="24"/>
        </w:rPr>
        <w:t>元，存货周转率为</w:t>
      </w: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次，该年度赊销净额为</w:t>
      </w:r>
    </w:p>
    <w:p w:rsidR="001D6A3E" w:rsidRDefault="00AA201C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40000</w:t>
      </w:r>
      <w:r>
        <w:rPr>
          <w:rFonts w:ascii="宋体" w:hAnsi="宋体" w:cs="宋体" w:hint="eastAsia"/>
          <w:sz w:val="24"/>
        </w:rPr>
        <w:t>元，期初应收账款余额为</w:t>
      </w:r>
      <w:r>
        <w:rPr>
          <w:rFonts w:ascii="宋体" w:hAnsi="宋体" w:cs="宋体" w:hint="eastAsia"/>
          <w:sz w:val="24"/>
        </w:rPr>
        <w:t>4800</w:t>
      </w:r>
      <w:r>
        <w:rPr>
          <w:rFonts w:ascii="宋体" w:hAnsi="宋体" w:cs="宋体" w:hint="eastAsia"/>
          <w:sz w:val="24"/>
        </w:rPr>
        <w:t>元</w:t>
      </w:r>
      <w:r>
        <w:rPr>
          <w:rFonts w:ascii="宋体" w:hAnsi="宋体" w:cs="宋体" w:hint="eastAsia"/>
          <w:sz w:val="24"/>
        </w:rPr>
        <w:t>4800</w:t>
      </w:r>
      <w:r>
        <w:rPr>
          <w:rFonts w:ascii="宋体" w:hAnsi="宋体" w:cs="宋体" w:hint="eastAsia"/>
          <w:sz w:val="24"/>
        </w:rPr>
        <w:t>元，期末应收账款余额为</w:t>
      </w:r>
      <w:r>
        <w:rPr>
          <w:rFonts w:ascii="宋体" w:hAnsi="宋体" w:cs="宋体" w:hint="eastAsia"/>
          <w:sz w:val="24"/>
        </w:rPr>
        <w:t>5200</w:t>
      </w:r>
      <w:r>
        <w:rPr>
          <w:rFonts w:ascii="宋体" w:hAnsi="宋体" w:cs="宋体" w:hint="eastAsia"/>
          <w:sz w:val="24"/>
        </w:rPr>
        <w:t>元，企业该年度利润总额为</w:t>
      </w:r>
      <w:r>
        <w:rPr>
          <w:rFonts w:ascii="宋体" w:hAnsi="宋体" w:cs="宋体" w:hint="eastAsia"/>
          <w:sz w:val="24"/>
        </w:rPr>
        <w:t>7200</w:t>
      </w:r>
      <w:r>
        <w:rPr>
          <w:rFonts w:ascii="宋体" w:hAnsi="宋体" w:cs="宋体" w:hint="eastAsia"/>
          <w:sz w:val="24"/>
        </w:rPr>
        <w:t>元，年末流动负债余额为</w:t>
      </w:r>
      <w:r>
        <w:rPr>
          <w:rFonts w:ascii="宋体" w:hAnsi="宋体" w:cs="宋体" w:hint="eastAsia"/>
          <w:sz w:val="24"/>
        </w:rPr>
        <w:t>8000</w:t>
      </w:r>
      <w:r>
        <w:rPr>
          <w:rFonts w:ascii="宋体" w:hAnsi="宋体" w:cs="宋体" w:hint="eastAsia"/>
          <w:sz w:val="24"/>
        </w:rPr>
        <w:t>元，流动比率为，期末无待摊费用。</w:t>
      </w:r>
      <w:r>
        <w:rPr>
          <w:rFonts w:ascii="宋体" w:hAnsi="宋体" w:cs="宋体" w:hint="eastAsia"/>
          <w:sz w:val="24"/>
        </w:rPr>
        <w:t> </w:t>
      </w:r>
    </w:p>
    <w:p w:rsidR="001D6A3E" w:rsidRDefault="00AA201C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要求：计算该企业速动比率、应收账款周转率和销售成本利润率。</w:t>
      </w:r>
    </w:p>
    <w:p w:rsidR="001D6A3E" w:rsidRDefault="001D6A3E">
      <w:pPr>
        <w:spacing w:line="288" w:lineRule="auto"/>
        <w:rPr>
          <w:rFonts w:ascii="宋体" w:hAnsi="宋体" w:cs="宋体"/>
          <w:sz w:val="24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p w:rsidR="001D6A3E" w:rsidRDefault="001D6A3E">
      <w:pPr>
        <w:adjustRightInd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</w:p>
    <w:sectPr w:rsidR="001D6A3E">
      <w:headerReference w:type="default" r:id="rId12"/>
      <w:footerReference w:type="default" r:id="rId13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01C" w:rsidRDefault="00AA201C">
      <w:r>
        <w:separator/>
      </w:r>
    </w:p>
  </w:endnote>
  <w:endnote w:type="continuationSeparator" w:id="0">
    <w:p w:rsidR="00AA201C" w:rsidRDefault="00AA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A3E" w:rsidRDefault="00AA201C">
    <w:pPr>
      <w:pStyle w:val="a7"/>
      <w:ind w:firstLineChars="4000" w:firstLine="7200"/>
    </w:pPr>
    <w:r>
      <w:rPr>
        <w:rFonts w:hint="eastAsia"/>
      </w:rPr>
      <w:t>《</w:t>
    </w:r>
    <w:r>
      <w:rPr>
        <w:rFonts w:hint="eastAsia"/>
      </w:rPr>
      <w:t>初级财务会计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95710B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95710B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01C" w:rsidRDefault="00AA201C">
      <w:r>
        <w:separator/>
      </w:r>
    </w:p>
  </w:footnote>
  <w:footnote w:type="continuationSeparator" w:id="0">
    <w:p w:rsidR="00AA201C" w:rsidRDefault="00AA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A3E" w:rsidRDefault="001D6A3E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0A8D7"/>
    <w:multiLevelType w:val="singleLevel"/>
    <w:tmpl w:val="57F0A8D7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5B64E744"/>
    <w:multiLevelType w:val="singleLevel"/>
    <w:tmpl w:val="5B64E74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Dk1MTQ4MWI4MTkwNWEyZDQ1OGY1ZmM4NGE2ZTgifQ=="/>
  </w:docVars>
  <w:rsids>
    <w:rsidRoot w:val="00172A27"/>
    <w:rsid w:val="000050FD"/>
    <w:rsid w:val="000630C7"/>
    <w:rsid w:val="0006491E"/>
    <w:rsid w:val="000653BB"/>
    <w:rsid w:val="0006549B"/>
    <w:rsid w:val="00065BE6"/>
    <w:rsid w:val="00076445"/>
    <w:rsid w:val="0008616F"/>
    <w:rsid w:val="000A39EF"/>
    <w:rsid w:val="000A7810"/>
    <w:rsid w:val="000B3075"/>
    <w:rsid w:val="000C58C3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1308"/>
    <w:rsid w:val="00172A27"/>
    <w:rsid w:val="001744D8"/>
    <w:rsid w:val="001810D8"/>
    <w:rsid w:val="001931E1"/>
    <w:rsid w:val="001946C3"/>
    <w:rsid w:val="00196839"/>
    <w:rsid w:val="001A250A"/>
    <w:rsid w:val="001B5A16"/>
    <w:rsid w:val="001D6A3E"/>
    <w:rsid w:val="001E6668"/>
    <w:rsid w:val="002142AD"/>
    <w:rsid w:val="00215DD8"/>
    <w:rsid w:val="00224C71"/>
    <w:rsid w:val="00225DA7"/>
    <w:rsid w:val="002333E3"/>
    <w:rsid w:val="00234176"/>
    <w:rsid w:val="002423CA"/>
    <w:rsid w:val="00254A40"/>
    <w:rsid w:val="00256509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33585"/>
    <w:rsid w:val="003467EC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411A4"/>
    <w:rsid w:val="004417C7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0754B"/>
    <w:rsid w:val="00521E2E"/>
    <w:rsid w:val="0052588C"/>
    <w:rsid w:val="005418EE"/>
    <w:rsid w:val="00543D82"/>
    <w:rsid w:val="00544F88"/>
    <w:rsid w:val="005542EC"/>
    <w:rsid w:val="005627F3"/>
    <w:rsid w:val="0056649A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67165"/>
    <w:rsid w:val="00670FE6"/>
    <w:rsid w:val="006773D4"/>
    <w:rsid w:val="0068515A"/>
    <w:rsid w:val="006911F3"/>
    <w:rsid w:val="00693997"/>
    <w:rsid w:val="00694079"/>
    <w:rsid w:val="00694372"/>
    <w:rsid w:val="006A208C"/>
    <w:rsid w:val="006A282D"/>
    <w:rsid w:val="006A738B"/>
    <w:rsid w:val="006B0445"/>
    <w:rsid w:val="006B0BE0"/>
    <w:rsid w:val="006B7E44"/>
    <w:rsid w:val="006C38D0"/>
    <w:rsid w:val="006C38F8"/>
    <w:rsid w:val="00701A26"/>
    <w:rsid w:val="007055D1"/>
    <w:rsid w:val="00770847"/>
    <w:rsid w:val="007713A7"/>
    <w:rsid w:val="007716B5"/>
    <w:rsid w:val="007A0B36"/>
    <w:rsid w:val="007A6FE6"/>
    <w:rsid w:val="007A7A23"/>
    <w:rsid w:val="007D6E0E"/>
    <w:rsid w:val="007E7746"/>
    <w:rsid w:val="00810FC8"/>
    <w:rsid w:val="008265C0"/>
    <w:rsid w:val="0082708B"/>
    <w:rsid w:val="0084131F"/>
    <w:rsid w:val="00853C1D"/>
    <w:rsid w:val="00857912"/>
    <w:rsid w:val="0088093C"/>
    <w:rsid w:val="00880C6F"/>
    <w:rsid w:val="008834E4"/>
    <w:rsid w:val="008919B0"/>
    <w:rsid w:val="008B0BA9"/>
    <w:rsid w:val="008B54E1"/>
    <w:rsid w:val="008B641D"/>
    <w:rsid w:val="008C10E2"/>
    <w:rsid w:val="008D2791"/>
    <w:rsid w:val="008D5348"/>
    <w:rsid w:val="008E59A5"/>
    <w:rsid w:val="00936686"/>
    <w:rsid w:val="0095710B"/>
    <w:rsid w:val="009633DA"/>
    <w:rsid w:val="00971E78"/>
    <w:rsid w:val="00975E74"/>
    <w:rsid w:val="00980247"/>
    <w:rsid w:val="00980FF3"/>
    <w:rsid w:val="009873C0"/>
    <w:rsid w:val="009A0D6B"/>
    <w:rsid w:val="009A4B3A"/>
    <w:rsid w:val="009B2250"/>
    <w:rsid w:val="009B2C1B"/>
    <w:rsid w:val="009C0CBA"/>
    <w:rsid w:val="009F176B"/>
    <w:rsid w:val="009F6995"/>
    <w:rsid w:val="00A06929"/>
    <w:rsid w:val="00A16E3B"/>
    <w:rsid w:val="00A17131"/>
    <w:rsid w:val="00A34167"/>
    <w:rsid w:val="00A37623"/>
    <w:rsid w:val="00A412AC"/>
    <w:rsid w:val="00A43650"/>
    <w:rsid w:val="00A446F9"/>
    <w:rsid w:val="00A6518D"/>
    <w:rsid w:val="00A950ED"/>
    <w:rsid w:val="00AA201C"/>
    <w:rsid w:val="00AA208C"/>
    <w:rsid w:val="00AA5BD5"/>
    <w:rsid w:val="00AC7550"/>
    <w:rsid w:val="00AD4AC5"/>
    <w:rsid w:val="00AE5919"/>
    <w:rsid w:val="00AE68A4"/>
    <w:rsid w:val="00B01EB2"/>
    <w:rsid w:val="00B12B5A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1AFB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3170A"/>
    <w:rsid w:val="00E56B77"/>
    <w:rsid w:val="00E91B0F"/>
    <w:rsid w:val="00EA2797"/>
    <w:rsid w:val="00EA29FE"/>
    <w:rsid w:val="00EB090C"/>
    <w:rsid w:val="00EB1467"/>
    <w:rsid w:val="00EB2E1F"/>
    <w:rsid w:val="00EB3185"/>
    <w:rsid w:val="00EB3750"/>
    <w:rsid w:val="00EC3D8F"/>
    <w:rsid w:val="00EC5E52"/>
    <w:rsid w:val="00ED2CA4"/>
    <w:rsid w:val="00EE1EF2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92EF9"/>
    <w:rsid w:val="00FD560A"/>
    <w:rsid w:val="00FE7045"/>
    <w:rsid w:val="06DC31EE"/>
    <w:rsid w:val="094D1A00"/>
    <w:rsid w:val="0C632E72"/>
    <w:rsid w:val="0DD368F3"/>
    <w:rsid w:val="102D5E0F"/>
    <w:rsid w:val="14EE7254"/>
    <w:rsid w:val="31604F3C"/>
    <w:rsid w:val="326522D2"/>
    <w:rsid w:val="37EE6F1C"/>
    <w:rsid w:val="39084594"/>
    <w:rsid w:val="391952AE"/>
    <w:rsid w:val="3D4D0E32"/>
    <w:rsid w:val="3DED2B57"/>
    <w:rsid w:val="43823241"/>
    <w:rsid w:val="469B65B1"/>
    <w:rsid w:val="4873685F"/>
    <w:rsid w:val="49E64448"/>
    <w:rsid w:val="4F9214BC"/>
    <w:rsid w:val="5434723C"/>
    <w:rsid w:val="5FED7792"/>
    <w:rsid w:val="6C437BAA"/>
    <w:rsid w:val="6F4E5FFC"/>
    <w:rsid w:val="7332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szCs w:val="20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Pr>
      <w:sz w:val="24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d">
    <w:name w:val="List Paragraph"/>
    <w:basedOn w:val="a"/>
    <w:uiPriority w:val="34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szCs w:val="20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Pr>
      <w:sz w:val="24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d">
    <w:name w:val="List Paragraph"/>
    <w:basedOn w:val="a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FA2DA0-1D56-4AAE-A6EC-71309932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424</Words>
  <Characters>2417</Characters>
  <Application>Microsoft Office Word</Application>
  <DocSecurity>0</DocSecurity>
  <Lines>20</Lines>
  <Paragraphs>5</Paragraphs>
  <ScaleCrop>false</ScaleCrop>
  <Company>nb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3</cp:revision>
  <dcterms:created xsi:type="dcterms:W3CDTF">2020-07-17T01:20:00Z</dcterms:created>
  <dcterms:modified xsi:type="dcterms:W3CDTF">2023-06-18T01:41:00Z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E20E167F1C994B32B33E1D61F8FC6CBC</vt:lpwstr>
  </property>
</Properties>
</file>